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0 -->
  <w:body>
    <w:p w:rsidR="00A77B3E">
      <w:pPr>
        <w:spacing w:before="0" w:after="0"/>
        <w:rPr>
          <w:rFonts w:ascii="Calibri" w:eastAsia="Calibri" w:hAnsi="Calibri" w:cs="Calibri"/>
          <w:b w:val="0"/>
          <w:color w:val="000000"/>
          <w:sz w:val="24"/>
        </w:rPr>
      </w:pPr>
      <w:r>
        <w:rPr>
          <w:rFonts w:ascii="Calibri" w:eastAsia="Calibri" w:hAnsi="Calibri" w:cs="Calibri"/>
          <w:b w:val="0"/>
          <w:color w:val="000000"/>
          <w:sz w:val="24"/>
        </w:rPr>
        <w:t>SAMS - Samarbetsförbundet kring funktionshinder rf</w:t>
      </w:r>
    </w:p>
    <w:p w:rsidR="00A77B3E">
      <w:pPr>
        <w:spacing w:before="0" w:after="0"/>
        <w:rPr>
          <w:rFonts w:ascii="Calibri" w:eastAsia="Calibri" w:hAnsi="Calibri" w:cs="Calibri"/>
          <w:b w:val="0"/>
          <w:color w:val="000000"/>
          <w:sz w:val="24"/>
        </w:rPr>
      </w:pPr>
    </w:p>
    <w:p w:rsidR="00A77B3E">
      <w:pPr>
        <w:spacing w:before="0" w:after="200"/>
        <w:ind w:firstLine="5000"/>
        <w:rPr>
          <w:rFonts w:ascii="Calibri" w:eastAsia="Calibri" w:hAnsi="Calibri" w:cs="Calibri"/>
          <w:b w:val="0"/>
          <w:color w:val="000000"/>
          <w:sz w:val="24"/>
        </w:rPr>
      </w:pPr>
      <w:r>
        <w:rPr>
          <w:rFonts w:ascii="Calibri" w:eastAsia="Calibri" w:hAnsi="Calibri" w:cs="Calibri"/>
          <w:b w:val="0"/>
          <w:color w:val="000000"/>
          <w:sz w:val="24"/>
        </w:rPr>
        <w:t>Utlåtande</w:t>
      </w:r>
    </w:p>
    <w:p w:rsidR="00A77B3E">
      <w:pPr>
        <w:spacing w:before="0" w:after="200"/>
        <w:ind w:firstLine="5000"/>
        <w:rPr>
          <w:rFonts w:ascii="Calibri" w:eastAsia="Calibri" w:hAnsi="Calibri" w:cs="Calibri"/>
          <w:b w:val="0"/>
          <w:color w:val="000000"/>
          <w:sz w:val="24"/>
        </w:rPr>
      </w:pPr>
      <w:r>
        <w:rPr>
          <w:rFonts w:ascii="Calibri" w:eastAsia="Calibri" w:hAnsi="Calibri" w:cs="Calibri"/>
          <w:b w:val="0"/>
          <w:color w:val="000000"/>
          <w:sz w:val="24"/>
        </w:rPr>
        <w:t>13.02.2026</w:t>
        <w:tab/>
        <w:tab/>
        <w:tab/>
      </w: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r>
        <w:rPr>
          <w:rFonts w:ascii="Calibri" w:eastAsia="Calibri" w:hAnsi="Calibri" w:cs="Calibri"/>
          <w:b w:val="0"/>
          <w:color w:val="000000"/>
          <w:sz w:val="24"/>
        </w:rPr>
        <w:t>Ärende:  VN/10990/2024</w:t>
      </w:r>
    </w:p>
    <w:p w:rsidR="00A77B3E">
      <w:pPr>
        <w:rPr>
          <w:rFonts w:ascii="Calibri" w:eastAsia="Calibri" w:hAnsi="Calibri" w:cs="Calibri"/>
          <w:b w:val="0"/>
          <w:color w:val="000000"/>
          <w:sz w:val="24"/>
        </w:rPr>
      </w:pPr>
    </w:p>
    <w:p w:rsidR="00A77B3E">
      <w:pPr>
        <w:rPr>
          <w:rFonts w:ascii="Calibri" w:eastAsia="Calibri" w:hAnsi="Calibri" w:cs="Calibri"/>
          <w:b/>
          <w:color w:val="000000"/>
          <w:sz w:val="32"/>
        </w:rPr>
      </w:pPr>
      <w:r>
        <w:rPr>
          <w:rFonts w:ascii="Calibri" w:eastAsia="Calibri" w:hAnsi="Calibri" w:cs="Calibri"/>
          <w:b/>
          <w:color w:val="000000"/>
          <w:sz w:val="32"/>
        </w:rPr>
        <w:t>Lausuntopyyntö luonnoksesta hallituksen esitykseksi eduskunnalle laeiksi vammaisetuuksista annetun lain, toimeentulotuesta annetun lain 7 b §:n ja sairausvakuutuslain 10 luvun 2 §:n ja 11 luvun 2 §:n muuttamisesta</w:t>
      </w:r>
    </w:p>
    <w:p w:rsidR="00A77B3E">
      <w:pPr>
        <w:rPr>
          <w:rFonts w:ascii="Calibri" w:eastAsia="Calibri" w:hAnsi="Calibri" w:cs="Calibri"/>
          <w:b/>
          <w:color w:val="000000"/>
          <w:sz w:val="32"/>
        </w:rPr>
      </w:pPr>
    </w:p>
    <w:p w:rsidR="00A77B3E">
      <w:pPr>
        <w:spacing w:before="200" w:after="200"/>
        <w:rPr>
          <w:rFonts w:ascii="Calibri" w:eastAsia="Calibri" w:hAnsi="Calibri" w:cs="Calibri"/>
          <w:b w:val="0"/>
          <w:color w:val="000000"/>
          <w:sz w:val="32"/>
        </w:rPr>
      </w:pPr>
      <w:r>
        <w:rPr>
          <w:rFonts w:ascii="Calibri" w:eastAsia="Calibri" w:hAnsi="Calibri" w:cs="Calibri"/>
          <w:b w:val="0"/>
          <w:color w:val="000000"/>
          <w:sz w:val="32"/>
        </w:rPr>
        <w:t>Lausunnonantajan lausunto</w:t>
      </w:r>
    </w:p>
    <w:p w:rsidR="00A77B3E">
      <w:pPr>
        <w:spacing w:before="200" w:after="200"/>
        <w:rPr>
          <w:rFonts w:ascii="Calibri" w:eastAsia="Calibri" w:hAnsi="Calibri" w:cs="Calibri"/>
          <w:b/>
          <w:color w:val="000000"/>
          <w:sz w:val="24"/>
        </w:rPr>
      </w:pPr>
      <w:r>
        <w:rPr>
          <w:rStyle w:val="DefaultParagraphFont"/>
          <w:rFonts w:ascii="Calibri" w:eastAsia="Calibri" w:hAnsi="Calibri" w:cs="Calibri"/>
          <w:b/>
          <w:color w:val="000000"/>
          <w:sz w:val="24"/>
        </w:rPr>
        <w:t>Voitte kirjoittaa lausuntonne alla olevaan tekstikenttään</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 Samarbetsförbundet kring funktionshinder tackar för möjligheten att lämna ett utlåtande.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Remissvar om förslaget om beviljande av handikappbidrag med grundbelopp för barn enligt lagen om handikappförmåner också för barn som har celiaki eller hudceliaki och följer en glutenfri diet:</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Förslaget innebär att barn under 18 år, som lider av celiaki eller hudceliaki, ska beviljas handikappbidrag med grundbelopp för barn, eftersom de måste följa en glutenfri diet. </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understöder förslaget. Kostnaderna för glutenfri kost är högre än för motsvarande kostalternativ, vilket kan innebära en ekonomisk belastning för familjer med barn som har celiaki. Förslaget är motiverat och främjar jämlikhet.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Remissvar om förslagen till ändring av förfarandebestämmelserna i lagen om handikappförmåner:</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Det föreslås att lagen om handikappförmåner ändras så att även andra typer av medicinska utredningar än traditionella läkarintyg godtas, förutsatt att de innehåller tillräcklig information för att avgöra ärendet.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välkomnar förslaget. En flexiblare och förenklad ansökningsprocess minskar den administrativa bördan för sökande och kan även avlasta hälso- och sjukvården. Detta innebär att familjer och unga i många fall inte längre behöver uppsöka vården enbart för att få ett nytt intyg till sin ansökan. </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Förslaget innebär också en tydligare reglering av när bidraget beviljas tillsvidare respektive för viss tid. SAMS ställer sig positivt till förtydligandet. För att säkerställa förutsägbarhet och likvärdig tillämpning behövs ändå tydligare riktlinjer för när ersättningen ska beviljas tills vidare respektive för viss tid. Klara och transparenta kriterier är nödvändiga för att sökande ska kunna förutse beslutens innehåll och förstå grunderna för bedömningen.</w:t>
      </w:r>
    </w:p>
    <w:p w:rsidR="00A77B3E">
      <w:pPr>
        <w:spacing w:before="200" w:after="200"/>
        <w:ind w:left="800"/>
        <w:rPr>
          <w:rFonts w:ascii="Calibri" w:eastAsia="Calibri" w:hAnsi="Calibri" w:cs="Calibri"/>
          <w:b w:val="0"/>
          <w:color w:val="000000"/>
          <w:sz w:val="24"/>
        </w:rPr>
      </w:pP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Remissvar om förslaget att förutsättningen för beviljande av specialvårdspenning enligt sjukförsäkringslagen (1224/2004) ändras i fråga om åldern på barnet som vårdas så att föräldrar till barn under 18 år har rätt till förmånen.</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Förslaget innebär att åldersgränsen för specialvårdspenning enligt sjukförsäkringslagen höjs från 16 till 18 år. SAMS välkomnar förslaget. Den föreslagna höjningen av åldersgränsen underlättar för föräldrar att vara delaktiga i vård och rehabilitering även när barnet är 16–17 år och innebär en ekonomisk avlastning för föräldrar som annars skulle behöva vara frånvarande utan ersättning från sitt arbete.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Övriga remissvar:</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val="0"/>
          <w:color w:val="000000"/>
          <w:sz w:val="24"/>
        </w:rPr>
      </w:pPr>
    </w:p>
    <w:p w:rsidR="00A77B3E">
      <w:pPr>
        <w:spacing w:before="200" w:after="200"/>
        <w:ind w:left="0"/>
        <w:rPr>
          <w:rFonts w:ascii="Calibri" w:eastAsia="Calibri" w:hAnsi="Calibri" w:cs="Calibri"/>
          <w:b w:val="0"/>
          <w:color w:val="000000"/>
          <w:sz w:val="24"/>
        </w:rPr>
      </w:pPr>
    </w:p>
    <w:p w:rsidR="00A77B3E">
      <w:pPr>
        <w:spacing w:before="200" w:after="200"/>
        <w:ind w:left="0"/>
        <w:rPr>
          <w:rFonts w:ascii="Calibri" w:eastAsia="Calibri" w:hAnsi="Calibri" w:cs="Calibri"/>
          <w:b w:val="0"/>
          <w:color w:val="000000"/>
          <w:sz w:val="24"/>
        </w:rPr>
      </w:pPr>
    </w:p>
    <w:p w:rsidR="00A77B3E">
      <w:pPr>
        <w:spacing w:before="0" w:after="0"/>
        <w:ind w:left="3200"/>
        <w:rPr>
          <w:rFonts w:ascii="Calibri" w:eastAsia="Calibri" w:hAnsi="Calibri" w:cs="Calibri"/>
          <w:b w:val="0"/>
          <w:color w:val="000000"/>
          <w:sz w:val="24"/>
        </w:rPr>
      </w:pPr>
      <w:r>
        <w:rPr>
          <w:rFonts w:ascii="Calibri" w:eastAsia="Calibri" w:hAnsi="Calibri" w:cs="Calibri"/>
          <w:b w:val="0"/>
          <w:color w:val="000000"/>
          <w:sz w:val="24"/>
        </w:rPr>
        <w:t>Panula Matilda</w:t>
      </w:r>
    </w:p>
    <w:p w:rsidR="00A77B3E">
      <w:pPr>
        <w:spacing w:before="0" w:after="0"/>
        <w:ind w:left="3200"/>
        <w:rPr>
          <w:rFonts w:ascii="Calibri" w:eastAsia="Calibri" w:hAnsi="Calibri" w:cs="Calibri"/>
          <w:b w:val="0"/>
          <w:color w:val="000000"/>
          <w:sz w:val="24"/>
        </w:rPr>
      </w:pPr>
      <w:r>
        <w:rPr>
          <w:rFonts w:ascii="Calibri" w:eastAsia="Calibri" w:hAnsi="Calibri" w:cs="Calibri"/>
          <w:b w:val="0"/>
          <w:color w:val="000000"/>
          <w:sz w:val="24"/>
        </w:rPr>
        <w:t>SAMS - Samarbetsförbundet kring funktionshinder rf</w:t>
      </w:r>
    </w:p>
    <w:p w:rsidR="00A77B3E">
      <w:pPr>
        <w:spacing w:before="0" w:after="0"/>
        <w:ind w:left="0"/>
        <w:rPr>
          <w:rFonts w:ascii="Calibri" w:eastAsia="Calibri" w:hAnsi="Calibri" w:cs="Calibri"/>
          <w:b w:val="0"/>
          <w:color w:val="000000"/>
          <w:sz w:val="24"/>
        </w:rPr>
      </w:pPr>
    </w:p>
    <w:sectPr>
      <w:footerReference w:type="default" r:id="rId4"/>
      <w:pgSz w:w="12240" w:h="15840"/>
      <w:pgMar w:top="800" w:right="800" w:bottom="0" w:left="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tbl>
    <w:tblPr>
      <w:tblW w:w="5000" w:type="pct"/>
      <w:tblCellMar>
        <w:left w:w="108" w:type="dxa"/>
        <w:right w:w="108" w:type="dxa"/>
      </w:tblCellMar>
    </w:tblPr>
    <w:tblGrid>
      <w:gridCol w:w="3547"/>
      <w:gridCol w:w="3547"/>
      <w:gridCol w:w="3547"/>
    </w:tblGrid>
    <w:tr>
      <w:tblPrEx>
        <w:tblW w:w="5000" w:type="pct"/>
        <w:tblCellMar>
          <w:left w:w="108" w:type="dxa"/>
          <w:right w:w="108" w:type="dxa"/>
        </w:tblCellMar>
      </w:tblPrEx>
      <w:trPr>
        <w:cantSplit w:val="0"/>
      </w:trPr>
      <w:tc>
        <w:tcPr>
          <w:tcW w:w="1650" w:type="pct"/>
          <w:vAlign w:val="top"/>
        </w:tcPr>
        <w:p/>
      </w:tc>
      <w:tc>
        <w:tcPr>
          <w:tcW w:w="1650" w:type="pct"/>
          <w:vAlign w:val="top"/>
        </w:tcPr>
        <w:p>
          <w:pPr>
            <w:jc w:val="center"/>
            <w:rPr>
              <w:rFonts w:ascii="Arial" w:eastAsia="Arial" w:hAnsi="Arial" w:cs="Arial"/>
              <w:b w:val="0"/>
              <w:color w:val="000000"/>
              <w:sz w:val="24"/>
            </w:rPr>
          </w:pPr>
          <w:r>
            <w:rPr>
              <w:rFonts w:ascii="Arial" w:eastAsia="Arial" w:hAnsi="Arial" w:cs="Arial"/>
              <w:sz w:val="20"/>
            </w:rPr>
            <w:t>Utlåtande.fi</w:t>
          </w:r>
        </w:p>
      </w:tc>
      <w:tc>
        <w:tcPr>
          <w:tcW w:w="1650" w:type="pct"/>
          <w:vAlign w:val="top"/>
        </w:tcPr>
        <w:p>
          <w:pPr>
            <w:jc w:val="right"/>
            <w:rPr>
              <w:rFonts w:ascii="Arial" w:eastAsia="Arial" w:hAnsi="Arial" w:cs="Arial"/>
              <w:b w:val="0"/>
              <w:color w:val="000000"/>
              <w:sz w:val="24"/>
            </w:rPr>
          </w:pPr>
          <w:r>
            <w:rPr>
              <w:rFonts w:ascii="Arial" w:eastAsia="Arial" w:hAnsi="Arial" w:cs="Arial"/>
              <w:b w:val="0"/>
              <w:color w:val="000000"/>
              <w:sz w:val="24"/>
            </w:rPr>
            <w:fldChar w:fldCharType="begin"/>
          </w:r>
          <w:r>
            <w:rPr>
              <w:rFonts w:ascii="Arial" w:eastAsia="Arial" w:hAnsi="Arial" w:cs="Arial"/>
              <w:b w:val="0"/>
              <w:color w:val="000000"/>
              <w:sz w:val="24"/>
            </w:rPr>
            <w:instrText>PAGE</w:instrText>
          </w:r>
          <w:r>
            <w:rPr>
              <w:rFonts w:ascii="Arial" w:eastAsia="Arial" w:hAnsi="Arial" w:cs="Arial"/>
              <w:b w:val="0"/>
              <w:color w:val="000000"/>
              <w:sz w:val="24"/>
            </w:rPr>
            <w:fldChar w:fldCharType="separate"/>
          </w:r>
          <w:r>
            <w:rPr>
              <w:rFonts w:ascii="Arial" w:eastAsia="Arial" w:hAnsi="Arial" w:cs="Arial"/>
              <w:b w:val="0"/>
              <w:color w:val="000000"/>
              <w:sz w:val="24"/>
              <w:szCs w:val="24"/>
            </w:rPr>
            <w:t>2</w:t>
          </w:r>
          <w:r>
            <w:rPr>
              <w:rFonts w:ascii="Arial" w:eastAsia="Arial" w:hAnsi="Arial" w:cs="Arial"/>
              <w:b w:val="0"/>
              <w:color w:val="000000"/>
              <w:sz w:val="24"/>
            </w:rPr>
            <w:fldChar w:fldCharType="end"/>
          </w:r>
          <w:r>
            <w:rPr>
              <w:rFonts w:ascii="Arial" w:eastAsia="Arial" w:hAnsi="Arial" w:cs="Arial"/>
              <w:b w:val="0"/>
              <w:color w:val="000000"/>
              <w:sz w:val="24"/>
            </w:rPr>
            <w:t>/</w:t>
          </w:r>
          <w:r>
            <w:rPr>
              <w:rFonts w:ascii="Arial" w:eastAsia="Arial" w:hAnsi="Arial" w:cs="Arial"/>
              <w:b w:val="0"/>
              <w:color w:val="000000"/>
              <w:sz w:val="24"/>
            </w:rPr>
            <w:fldChar w:fldCharType="begin"/>
          </w:r>
          <w:r>
            <w:rPr>
              <w:rFonts w:ascii="Arial" w:eastAsia="Arial" w:hAnsi="Arial" w:cs="Arial"/>
              <w:b w:val="0"/>
              <w:color w:val="000000"/>
              <w:sz w:val="24"/>
            </w:rPr>
            <w:instrText>NUMPAGES</w:instrText>
          </w:r>
          <w:r>
            <w:rPr>
              <w:rFonts w:ascii="Arial" w:eastAsia="Arial" w:hAnsi="Arial" w:cs="Arial"/>
              <w:b w:val="0"/>
              <w:color w:val="000000"/>
              <w:sz w:val="24"/>
            </w:rPr>
            <w:fldChar w:fldCharType="separate"/>
          </w:r>
          <w:r>
            <w:rPr>
              <w:rFonts w:ascii="Arial" w:eastAsia="Arial" w:hAnsi="Arial" w:cs="Arial"/>
              <w:b w:val="0"/>
              <w:color w:val="000000"/>
              <w:sz w:val="24"/>
              <w:szCs w:val="24"/>
            </w:rPr>
            <w:t>2</w:t>
          </w:r>
          <w:r>
            <w:rPr>
              <w:rFonts w:ascii="Arial" w:eastAsia="Arial" w:hAnsi="Arial" w:cs="Arial"/>
              <w:b w:val="0"/>
              <w:color w:val="000000"/>
              <w:sz w:val="24"/>
            </w:rP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2</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